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CDE0" w14:textId="70CF6751" w:rsidR="00482588" w:rsidRPr="009F5566" w:rsidRDefault="00482588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Pannónia Ösztöndíjprogram</w:t>
      </w:r>
    </w:p>
    <w:p w14:paraId="49451BD4" w14:textId="74ADDFD3" w:rsidR="00FC6C46" w:rsidRPr="009F5566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PÁLYÁZATI FELHÍVÁS A 2024/2025. 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TANÉV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Tavaszi Félévre</w:t>
      </w:r>
    </w:p>
    <w:p w14:paraId="49089340" w14:textId="3D4E9A05" w:rsidR="00FC6C46" w:rsidRPr="009F5566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 mobilitás megvalósítására</w:t>
      </w:r>
      <w:r w:rsid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PTE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külföldi partneregyetemein</w:t>
      </w:r>
    </w:p>
    <w:p w14:paraId="67845BCF" w14:textId="28995D5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Tempus Közalapítvány Kuratóriuma jóváhagyta a Pécsi Tudományegyetem (PTE) 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Pannónia Ösztöndíjprogram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intézményi pályázatát, annak érdekében, hogy a modellváltott intézmények hallgatói, oktatói, dolgozói számára is folyamatosan biztosított legyen a nemzetközi együttműködésekben való részvétel.</w:t>
      </w:r>
    </w:p>
    <w:p w14:paraId="707A8975" w14:textId="77777777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PTE a 2024/2025-ös tanévre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ösztöndíjakat hirdet meg, a tervezett oktatói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tevékenységek </w:t>
      </w:r>
      <w:r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megvalósítási időtartama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C2F767" w14:textId="396F01DB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>202</w:t>
      </w:r>
      <w:r w:rsidR="00D95BC1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 xml:space="preserve">5. </w:t>
      </w:r>
      <w:r w:rsidR="00132726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>május 5</w:t>
      </w:r>
      <w:r w:rsidR="004844F4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 xml:space="preserve">. </w:t>
      </w:r>
      <w:r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 xml:space="preserve">– 2025. </w:t>
      </w:r>
      <w:r w:rsidR="00132726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>augusztus 31</w:t>
      </w:r>
      <w:r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cyan"/>
          <w:lang w:eastAsia="hu-HU"/>
          <w14:ligatures w14:val="none"/>
        </w:rPr>
        <w:t>.</w:t>
      </w:r>
    </w:p>
    <w:p w14:paraId="0C4F20C7" w14:textId="72A0E539" w:rsidR="00641C06" w:rsidRDefault="00FD4769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Fontos!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pályázás folyamatos,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azaz az egész tanévben lehet pályázatot beadni</w:t>
      </w:r>
      <w:r w:rsidR="001E7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alábbi kitétellel: A pályázat </w:t>
      </w:r>
      <w:r w:rsidR="00482588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leadásának </w:t>
      </w:r>
      <w:r w:rsidR="00C8724A" w:rsidRP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határideje az adott hónap vége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a pályázat megvalósítása leghamarabb az azt követő második hónap elejétől lehetséges (pl.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április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30-ai beadás esetén a mobilitás időszaka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június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1-jétől tervezhető).</w:t>
      </w:r>
    </w:p>
    <w:p w14:paraId="6F76890E" w14:textId="7FFB78CC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7CBE4DD1" w14:textId="464E8923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oktatói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5F18FB81" w14:textId="7C2AC665" w:rsidR="00482588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2C6D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</w:t>
      </w:r>
      <w:r w:rsidR="002C6D3A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enyújtható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több </w:t>
      </w:r>
      <w:r w:rsidR="001E7717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pályázat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félévre vagy tanévre,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de egy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elnyert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adott ösztöndíjjal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csak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egy adott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intézménybe</w:t>
      </w:r>
      <w:r w:rsidR="00B10C65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lehet 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kiutazni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!)</w:t>
      </w:r>
    </w:p>
    <w:p w14:paraId="100A1398" w14:textId="0CCA7E29" w:rsidR="00F10446" w:rsidRPr="008A78E7" w:rsidRDefault="00F104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rFonts w:ascii="Times New Roman" w:hAnsi="Times New Roman" w:cs="Times New Roman"/>
          <w:b/>
          <w:bCs/>
          <w:sz w:val="24"/>
          <w:szCs w:val="24"/>
        </w:rPr>
        <w:t>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A6931C" w14:textId="77777777" w:rsidR="00E83A4D" w:rsidRPr="00E83A4D" w:rsidRDefault="00E83A4D" w:rsidP="00E83A4D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BB07F86" w14:textId="412E58C3" w:rsidR="00482588" w:rsidRPr="00E83A4D" w:rsidRDefault="001E7717" w:rsidP="00E83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Elfogadott absztra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 esetén 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vagy aktív tevékenységre (pl. workshop moderálás, adott prezentációs </w:t>
      </w:r>
      <w:r w:rsidR="00BC2676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szekció vezetése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 felkérő levél birtokában 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javasoljuk a pályázat beadását.</w:t>
      </w:r>
    </w:p>
    <w:p w14:paraId="3174DB24" w14:textId="0DC91EC0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 megállapodásban rögzíteni szükséges a tervezett tevékenységet a konferenciarészvétel esetén is, valamint a beszámolóban nyilatkozni kell azok teljesüléséről.</w:t>
      </w:r>
    </w:p>
    <w:p w14:paraId="301F5835" w14:textId="6BBC93D4" w:rsidR="00FD4769" w:rsidRPr="009F5566" w:rsidRDefault="00FD4769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Kutatási célú mobilitás </w:t>
      </w:r>
    </w:p>
    <w:p w14:paraId="7EB1EA7E" w14:textId="055E4A69" w:rsidR="00466F1A" w:rsidRPr="009F5566" w:rsidRDefault="00362FC1" w:rsidP="00466F1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</w:t>
      </w:r>
      <w:r w:rsidR="006E63D8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1E771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Időtartama 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="001E771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="001E7717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45CB788C" w14:textId="3FA2D1B2" w:rsidR="006E63D8" w:rsidRPr="004844F4" w:rsidRDefault="006E63D8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0690D43B" w14:textId="1D940AE3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Az oktató/kutató tanszékvezetője/intézetvezetője/tudományos ügyekért felelős vezetője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1E9B73B8" w14:textId="0EF916A4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kell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készítenie, amely tartalmazza a mobilitási időszak tevékenységeit, eredményeit.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</w:t>
      </w:r>
      <w:r w:rsidR="001E7717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intézetvezetője/tudományos ügyekért</w:t>
      </w:r>
      <w:r w:rsidR="00466F1A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felelős vezetője fogadja el.</w:t>
      </w:r>
    </w:p>
    <w:p w14:paraId="7D884083" w14:textId="3489F6A1" w:rsidR="00466F1A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mobilitás alatt tervezett tevékenységeket és elérendő eredményeket.</w:t>
      </w:r>
    </w:p>
    <w:p w14:paraId="265F3771" w14:textId="4E40554E" w:rsidR="00FC6C46" w:rsidRPr="009F5566" w:rsidRDefault="00C86457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Pályázat </w:t>
      </w:r>
      <w:r w:rsidR="00BC2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benyújtására való jogosultság feltételei</w:t>
      </w:r>
    </w:p>
    <w:p w14:paraId="7DF8976F" w14:textId="5FCF0A7E" w:rsidR="004F3726" w:rsidRPr="004F3726" w:rsidRDefault="00FC6C46" w:rsidP="004F372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0768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515689D1" w14:textId="48760D1C" w:rsidR="00FC6C46" w:rsidRPr="009F5566" w:rsidRDefault="00FC6C4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4999E5" w14:textId="0DE03E20" w:rsidR="00FC6C46" w:rsidRPr="009F5566" w:rsidRDefault="00BC267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A1A0DD" w14:textId="31DC63FB" w:rsidR="00FC6C46" w:rsidRPr="009F5566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2D263707" w14:textId="2BD6E58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utazást, biztosítást, szállásfoglalást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illetőleg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kiutazó oktatónak/ munkatársnak magának kell intéznie, és az ezzel kapcsolatos költségek is őt terhelik. Ezen költségekhez az ösztöndíj szabadon felhasználható, de </w:t>
      </w:r>
      <w:r w:rsidRPr="0038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ösztöndíj csak hozzájárulás a mobilitáshoz,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teljes költséget nem </w:t>
      </w:r>
      <w:r w:rsid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feltétlen </w:t>
      </w:r>
      <w:r w:rsidRP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fedezi.</w:t>
      </w:r>
    </w:p>
    <w:p w14:paraId="2E19CE94" w14:textId="77777777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16A00A44" w14:textId="4FCBEA69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igényelhető támogatás</w:t>
      </w:r>
      <w:r w:rsidR="001E77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FC6C46" w:rsidRPr="009F5566" w14:paraId="232DFB37" w14:textId="77777777" w:rsidTr="004844F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8F9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941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Célországok</w:t>
            </w:r>
          </w:p>
        </w:tc>
      </w:tr>
      <w:tr w:rsidR="00FC6C46" w:rsidRPr="009F5566" w14:paraId="1878E3CE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440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5CBE" w14:textId="1E92A005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Niue</w:t>
            </w:r>
            <w:proofErr w:type="spellEnd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Norvégia, Palau, Pápua Új-Guinea, Salamonszigetek, San Marino, Svájc, Svédország, Szamoa, Szingapúr, Tajvan, Tonga, Tuvalu, Új-Zéland, Vanuatu</w:t>
            </w:r>
          </w:p>
        </w:tc>
      </w:tr>
      <w:tr w:rsidR="00FC6C46" w:rsidRPr="009F5566" w14:paraId="2BC31208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1632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7D7D" w14:textId="38892E98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Afganisztán, Banglades,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Belarusz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Irak, Jemen, Kambodzsa, Kína, Kirgizisztán, Koszovó, Laosz, Lengyelország,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Lettország, Litvánia, Magyarország, Maldív-szigetek, Málta,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Mianmar, Moldova,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Pakisztán, Portugália, Románia, Spanyolország,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Srí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Lanka, Szerbia, Szíria,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Szlovákia, Szlovénia, Tádzsikisztán, Türkmenisztán, Ukrajna, Üzbegisztán</w:t>
            </w:r>
          </w:p>
        </w:tc>
      </w:tr>
      <w:tr w:rsidR="00FC6C46" w:rsidRPr="009F5566" w14:paraId="7D10E874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CC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A042" w14:textId="0753C4C1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Guinea-Bissau, Guyana, Haiti, Honduras, India, Indonézia, Irán, Jamaica, Jordánia,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Saint Lucia, Saint Vincent és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Grenadine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-szigetek,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São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Tomé és Príncipe,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Tunézia, Uganda, Uruguay, Venezuela, Vietnám, Zambia, Zimbabwe, Zöld-fokiszigetek</w:t>
            </w:r>
          </w:p>
        </w:tc>
      </w:tr>
    </w:tbl>
    <w:p w14:paraId="7CDE46D3" w14:textId="77777777" w:rsidR="00F10446" w:rsidRPr="00D95BC1" w:rsidRDefault="00F10446" w:rsidP="00F10446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</w:p>
    <w:p w14:paraId="7650123F" w14:textId="77777777" w:rsidR="00F10446" w:rsidRPr="00D95BC1" w:rsidRDefault="00F10446" w:rsidP="00F1044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8D8F5FE" w14:textId="77777777" w:rsidR="00F10446" w:rsidRPr="00D95BC1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3661FBE6" w14:textId="77777777" w:rsidR="00F10446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D95BC1" w:rsidRPr="005114E4" w14:paraId="189EBFC9" w14:textId="77777777" w:rsidTr="00044819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8B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55B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FDA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616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64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D95BC1" w:rsidRPr="005114E4" w14:paraId="260310FD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682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474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E12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98B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B66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9A0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95BC1" w:rsidRPr="005114E4" w14:paraId="28BE9B5A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C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4C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F8A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EB4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A39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86F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D95BC1" w:rsidRPr="005114E4" w14:paraId="726916FC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0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F0B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9B62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D5E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7D1E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DA5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D95BC1" w:rsidRPr="005114E4" w14:paraId="491CB4B6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F4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8D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5F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817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9AD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629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D95BC1" w:rsidRPr="005114E4" w14:paraId="14486363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800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8B1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5F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22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AA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27D8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53D0447F" w14:textId="77777777" w:rsidR="00D95BC1" w:rsidRPr="00D95BC1" w:rsidRDefault="00D95BC1" w:rsidP="00D95BC1">
      <w:pPr>
        <w:pStyle w:val="rtejustify"/>
        <w:ind w:left="360"/>
      </w:pPr>
    </w:p>
    <w:p w14:paraId="0C3C3299" w14:textId="3735D461" w:rsidR="00F10446" w:rsidRDefault="00F10446" w:rsidP="00F10446">
      <w:pPr>
        <w:pStyle w:val="rtejustify"/>
      </w:pPr>
      <w:r w:rsidRPr="006C0E38">
        <w:rPr>
          <w:highlight w:val="cyan"/>
        </w:rPr>
        <w:t>Az utazási távolságok kiszámítása az</w:t>
      </w:r>
      <w:r w:rsidR="00FC4DFF" w:rsidRPr="006C0E38">
        <w:rPr>
          <w:highlight w:val="cyan"/>
        </w:rPr>
        <w:t xml:space="preserve"> un</w:t>
      </w:r>
      <w:r w:rsidRPr="006C0E38">
        <w:rPr>
          <w:highlight w:val="cyan"/>
        </w:rPr>
        <w:t xml:space="preserve"> </w:t>
      </w:r>
      <w:hyperlink r:id="rId7" w:tgtFrame="_blank" w:history="1">
        <w:r w:rsidRPr="006C0E38">
          <w:rPr>
            <w:rStyle w:val="Hiperhivatkozs"/>
            <w:color w:val="0000CD"/>
            <w:highlight w:val="cyan"/>
          </w:rPr>
          <w:t>Erasmus+ Distance Calculator</w:t>
        </w:r>
      </w:hyperlink>
      <w:r w:rsidRPr="006C0E38">
        <w:rPr>
          <w:highlight w:val="cyan"/>
        </w:rPr>
        <w:t xml:space="preserve"> alkalmazás segítségével történik</w:t>
      </w:r>
      <w:r w:rsidR="00674839" w:rsidRPr="006C0E38">
        <w:rPr>
          <w:highlight w:val="cyan"/>
        </w:rPr>
        <w:t xml:space="preserve">: </w:t>
      </w:r>
      <w:hyperlink r:id="rId8" w:history="1">
        <w:r w:rsidR="00674839" w:rsidRPr="003F0CCC">
          <w:rPr>
            <w:rStyle w:val="Hiperhivatkozs"/>
          </w:rPr>
          <w:t>https://erasmus-plus.ec.europa.eu/resources-and-tools/distance-calculator</w:t>
        </w:r>
      </w:hyperlink>
    </w:p>
    <w:p w14:paraId="43032F77" w14:textId="77777777" w:rsidR="00674839" w:rsidRPr="00F10446" w:rsidRDefault="00674839" w:rsidP="00F10446">
      <w:pPr>
        <w:pStyle w:val="rtejustify"/>
        <w:rPr>
          <w:highlight w:val="yellow"/>
        </w:rPr>
      </w:pPr>
    </w:p>
    <w:p w14:paraId="7C6DCBCE" w14:textId="01457C51" w:rsidR="00F10446" w:rsidRDefault="00F10446" w:rsidP="00F10446">
      <w:pPr>
        <w:pStyle w:val="rtejustify"/>
      </w:pPr>
      <w:r w:rsidRPr="006C0E38">
        <w:rPr>
          <w:highlight w:val="cyan"/>
          <w:u w:val="single"/>
        </w:rPr>
        <w:t xml:space="preserve">Az utazási támogatás </w:t>
      </w:r>
      <w:proofErr w:type="gramStart"/>
      <w:r w:rsidRPr="006C0E38">
        <w:rPr>
          <w:highlight w:val="cyan"/>
          <w:u w:val="single"/>
        </w:rPr>
        <w:t>igénybe vétele</w:t>
      </w:r>
      <w:proofErr w:type="gramEnd"/>
      <w:r w:rsidRPr="006C0E38">
        <w:rPr>
          <w:highlight w:val="cyan"/>
          <w:u w:val="single"/>
        </w:rPr>
        <w:t xml:space="preserve"> esetén</w:t>
      </w:r>
      <w:r w:rsidR="00FC4DFF" w:rsidRPr="006C0E38">
        <w:rPr>
          <w:highlight w:val="cyan"/>
          <w:u w:val="single"/>
        </w:rPr>
        <w:t>,</w:t>
      </w:r>
      <w:r w:rsidRPr="006C0E38">
        <w:rPr>
          <w:highlight w:val="cyan"/>
          <w:u w:val="single"/>
        </w:rPr>
        <w:t xml:space="preserve"> az igazoló dokumentumok köre kiegészül az utazás dátumát igazoló szállás és utazási dokumentumokkal!</w:t>
      </w:r>
    </w:p>
    <w:p w14:paraId="15C71124" w14:textId="77777777" w:rsidR="00F10446" w:rsidRDefault="00F10446" w:rsidP="00F10446">
      <w:pPr>
        <w:pStyle w:val="Listaszerbekezds"/>
        <w:keepNext/>
        <w:spacing w:before="100" w:beforeAutospacing="1" w:after="100" w:afterAutospacing="1" w:line="240" w:lineRule="auto"/>
        <w:ind w:left="782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AD3BF72" w14:textId="792B862B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2B5FA515" w14:textId="791791F1" w:rsidR="004F372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felhívás keretén belül az alábbi európai és Európán kívüli partnerintézményekben pályázhatóak meg oktatói mobilitások:</w:t>
      </w:r>
    </w:p>
    <w:p w14:paraId="489FBEF0" w14:textId="2F3A3534" w:rsidR="004F3726" w:rsidRDefault="004F372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</w:t>
      </w:r>
      <w:r w:rsidR="006748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az un.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táblázat karra vonatkozó kapcsolatai alapján</w:t>
      </w:r>
    </w:p>
    <w:p w14:paraId="0FCDCA41" w14:textId="6717E295" w:rsidR="003C288E" w:rsidRDefault="009F556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Tengerentúli, Európán kívüli kapcsolatok esetében</w:t>
      </w:r>
      <w:r w:rsidR="00C86457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illetve</w:t>
      </w:r>
      <w:r w:rsidR="003C288E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kari szerződéseken megkötött oktatói helyek listája</w:t>
      </w: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alapján</w:t>
      </w:r>
      <w:r w:rsidR="004D5325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E6891F9" w14:textId="7AD582D5" w:rsidR="00C86457" w:rsidRPr="00C86457" w:rsidRDefault="00C86457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06A5E836" w14:textId="1B7B4DDD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A PTE az </w:t>
      </w:r>
      <w:hyperlink r:id="rId9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EDUC </w:t>
        </w:r>
        <w:proofErr w:type="spellStart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Alliances</w:t>
        </w:r>
        <w:proofErr w:type="spellEnd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</w:t>
        </w:r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megvalósuló mobilitásokat előnyben részesíti. Továbbá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>ezen pályázati fordulóban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a </w:t>
      </w:r>
      <w:hyperlink r:id="rId10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QS World University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illetve a </w:t>
      </w:r>
      <w:hyperlink r:id="rId11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Times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Higher</w:t>
        </w:r>
        <w:proofErr w:type="spellEnd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Education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</w:p>
    <w:p w14:paraId="54F7C9A1" w14:textId="5222A522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FC6C46" w:rsidRPr="009F5566" w14:paraId="70676EDB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1428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273D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76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F09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országcsoport</w:t>
            </w:r>
          </w:p>
        </w:tc>
      </w:tr>
      <w:tr w:rsidR="00FC6C46" w:rsidRPr="009F5566" w14:paraId="6E8CAC98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DC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E26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D3E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3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50.000 Ft/nap</w:t>
            </w:r>
          </w:p>
        </w:tc>
      </w:tr>
    </w:tbl>
    <w:p w14:paraId="7F925B05" w14:textId="2C6524E0" w:rsidR="00FC6C46" w:rsidRPr="009F5566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</w:t>
      </w:r>
      <w:r w:rsidR="003C288E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leadása</w:t>
      </w:r>
    </w:p>
    <w:p w14:paraId="2CBAD191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pályázatoknak az alábbi kötelezően benyújtandó dokumentumokat kell tartalmaznia:</w:t>
      </w:r>
    </w:p>
    <w:p w14:paraId="599D5E10" w14:textId="2F31E1D1" w:rsidR="009F5566" w:rsidRPr="006C0E38" w:rsidRDefault="003C288E" w:rsidP="0046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hu-HU"/>
          <w14:ligatures w14:val="none"/>
        </w:rPr>
      </w:pP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Mobility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(munkaterv): 3 fél által aláírt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konkrét időtaramra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vonatkozóan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év/hónap/napra)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32726" w:rsidRPr="006C0E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cyan"/>
          <w:lang w:eastAsia="hu-HU"/>
          <w14:ligatures w14:val="none"/>
        </w:rPr>
        <w:t>PTE részéről aláíró a Kar a külügyekért felelős dékánhelyettes</w:t>
      </w:r>
    </w:p>
    <w:p w14:paraId="65E98EB8" w14:textId="4A73660A" w:rsidR="003C288E" w:rsidRPr="009F5566" w:rsidRDefault="009F5566" w:rsidP="0048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Fontos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, hogy a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vasárnapi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 adott ország munkaszüneti napjára eső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mobilitási kezdő vagy záró időpont szakmai magyarázatra szorul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 (Ez nem érinti az utazási napokat.)</w:t>
      </w:r>
    </w:p>
    <w:p w14:paraId="1606802B" w14:textId="53FA6A7D" w:rsidR="00FC6C46" w:rsidRPr="009F5566" w:rsidRDefault="00FC6C46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Rövid motivációs levél (angol nyelven vagy a célhelyen használt munkanyelven)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63173F7B" w14:textId="3CF13524" w:rsidR="00FC6C46" w:rsidRPr="009F5566" w:rsidRDefault="000D569F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özvetlen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munkahelyi vezető rövid támogató nyilatkozata, hozzájárulása a külföldi mobilitáshoz (magyar nyelven)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D0617E3" w14:textId="273443E4" w:rsidR="00FC6C46" w:rsidRPr="009F5566" w:rsidRDefault="00FC6C46" w:rsidP="009F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Pályázás módja: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fent jelzett pályázati dokumentumokat az oktatót foglalkoztató kar kari koordinátora felé </w:t>
      </w:r>
      <w:r w:rsid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kell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benyújtani. Kari koordinátorok listája: </w:t>
      </w:r>
      <w:hyperlink r:id="rId12" w:anchor="koordinatorok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https://mobilitas.pte.hu/munkatars#koordinatorok</w:t>
        </w:r>
      </w:hyperlink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DCF6B5A" w14:textId="0A2916AA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Beadási határidő</w:t>
      </w:r>
      <w:r w:rsidR="00F871B1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mobilitás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hónapját kettővel megelőző hónap vége (pl. </w:t>
      </w:r>
      <w:r w:rsidR="00B64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júniusi 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utazás esetén </w:t>
      </w:r>
      <w:r w:rsidR="00B64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április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28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-a)</w:t>
      </w:r>
      <w:r w:rsidR="006C0E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Az </w:t>
      </w:r>
      <w:r w:rsidR="00C70BD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o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ktató</w:t>
      </w:r>
      <w:r w:rsidR="004844F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/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kutató </w:t>
      </w:r>
      <w:r w:rsidR="006C0E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a Pécsi Tudományegyetem Kultúratudományi Pedagógusképző és Vidékfejlesztési Karának Tanulmányi Osztályán leadandó. </w:t>
      </w:r>
    </w:p>
    <w:p w14:paraId="495660B1" w14:textId="62BE34D1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kari koordinátor az előzetesen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kijelölt Kari Bizottság által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elbírált és a kar által jóváhagyott pályázatokat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(kari adatbázissal)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megküldi a PTE Nemzetközi Igazgatóság Mobilitási Programok Irodavezetőjének.</w:t>
      </w:r>
    </w:p>
    <w:p w14:paraId="4CB2DB55" w14:textId="23830A13" w:rsidR="00FC6C46" w:rsidRPr="009F5566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03E7B741" w14:textId="1781F160" w:rsidR="003873C1" w:rsidRDefault="00FC6C46" w:rsidP="00533F95">
      <w:pPr>
        <w:jc w:val="both"/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végső bírálatát a PTE Erasmus Bizottsága végzi, a pályázók létszáma, és az Egyetem számára rendelkezésre álló 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támogatási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összegek alapján.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3C1" w:rsidRP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 xml:space="preserve">pozitív </w:t>
      </w:r>
      <w:r w:rsidR="000D569F">
        <w:rPr>
          <w:rFonts w:ascii="Times New Roman" w:hAnsi="Times New Roman" w:cs="Times New Roman"/>
          <w:b/>
          <w:bCs/>
          <w:sz w:val="24"/>
          <w:szCs w:val="24"/>
        </w:rPr>
        <w:t>elbírálása</w:t>
      </w:r>
      <w:r w:rsidR="000D569F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a rendelkezésre álló források függvény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A11074A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elbírálásának általános szempontjai:</w:t>
      </w:r>
    </w:p>
    <w:p w14:paraId="2A518251" w14:textId="5593EF54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pályázó a tervezett tevékenység megvalósulása esetén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integrálni</w:t>
      </w:r>
      <w:r w:rsidR="000D569F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tudja a megszerzett jó gyakorlatokat, ezáltal javítani tudja a szervezeti egység és az intézmény működését,</w:t>
      </w:r>
    </w:p>
    <w:p w14:paraId="14012E80" w14:textId="77777777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a megszerzett tapasztalatait és a jó gyakorlatokat átadja a hasonló területen dolgozó kollégáinak (multiplikátor hatás érvényesülése)</w:t>
      </w:r>
    </w:p>
    <w:p w14:paraId="0C61AC82" w14:textId="2070A246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kiutazás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intézményi mobilitások minőségi és mennyiségi növekedéséhez, és az ezzel kapcsolatos szolgáltatások színvonalának emeléséhez.</w:t>
      </w:r>
    </w:p>
    <w:p w14:paraId="1A23C00F" w14:textId="4206AFD2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korábban mobilitásban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való részvétel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pl.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Erasmus+,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Ceepus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Kiemelt Partnerségi)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8BC834" w14:textId="40268E98" w:rsidR="00FC6C46" w:rsidRPr="00BE5F5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pályázókat elektronikus úton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Küldő Kar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értesí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ti ki 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döntésről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048D7AE8" w14:textId="316C1622" w:rsidR="00FC6C46" w:rsidRPr="009F5566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599EDFD8" w14:textId="424C88D1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elfogadott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pályázatot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három megjelölt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formailag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elfogadott dokumentummal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követően a Támogatási szerződés megkötésére kerül sor, amely alapján a PTE az ösztöndíjat átutaláson keresztül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forintban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biztosítja.</w:t>
      </w:r>
      <w:r w:rsidR="00DE0D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AF2BA0B" w14:textId="57B187DB" w:rsidR="00DE0DE8" w:rsidRPr="009F5566" w:rsidRDefault="00DE0DE8" w:rsidP="00EB06F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B06F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oktatói – kutatói tanulmányút nem kezdhető meg a 3 fél által aláírt érvényes és a karon leadott munkaterv, valamint a PTE és a résztvevő között </w:t>
      </w:r>
      <w:r w:rsidR="006C0E38" w:rsidRPr="00EB06F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létrejövő támogatási</w:t>
      </w:r>
      <w:r w:rsidRPr="00EB06F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3A80D402" w14:textId="45B68528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További információ</w:t>
      </w:r>
    </w:p>
    <w:p w14:paraId="7B52320E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belül - Németh Judit, Mobilitási Programok Iroda, irodavezető: </w:t>
      </w:r>
      <w:hyperlink r:id="rId13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nemeth.judit@pte.hu</w:t>
        </w:r>
      </w:hyperlink>
    </w:p>
    <w:p w14:paraId="656E82B6" w14:textId="77777777" w:rsid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kívül - Czéh Gábor, koordinátor </w:t>
      </w:r>
      <w:hyperlink r:id="rId14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czeh.gabor@pte.hu</w:t>
        </w:r>
      </w:hyperlink>
    </w:p>
    <w:p w14:paraId="4D3DAB3B" w14:textId="45309A1D" w:rsidR="006C0E38" w:rsidRPr="006C0E38" w:rsidRDefault="006C0E38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C0E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Kari koordinátor – Kiss Zsófia </w:t>
      </w:r>
      <w:hyperlink r:id="rId15" w:history="1">
        <w:r w:rsidRPr="00FE31AA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kiss.zsofia3@pte.hu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989B79F" w14:textId="546FF09C" w:rsidR="00EE2C79" w:rsidRP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Sikeres pályázást kívánunk!</w:t>
      </w:r>
    </w:p>
    <w:sectPr w:rsidR="00EE2C79" w:rsidRPr="00701EE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7AA6" w14:textId="77777777" w:rsidR="0079329D" w:rsidRDefault="0079329D" w:rsidP="00654B15">
      <w:pPr>
        <w:spacing w:after="0" w:line="240" w:lineRule="auto"/>
      </w:pPr>
      <w:r>
        <w:separator/>
      </w:r>
    </w:p>
  </w:endnote>
  <w:endnote w:type="continuationSeparator" w:id="0">
    <w:p w14:paraId="16981EBC" w14:textId="77777777" w:rsidR="0079329D" w:rsidRDefault="0079329D" w:rsidP="0065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E3D67" w14:textId="713474EB" w:rsidR="00654B15" w:rsidRPr="004844F4" w:rsidRDefault="00654B15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4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69F">
          <w:rPr>
            <w:rFonts w:ascii="Times New Roman" w:hAnsi="Times New Roman" w:cs="Times New Roman"/>
            <w:sz w:val="24"/>
            <w:szCs w:val="24"/>
            <w:rPrChange w:id="0" w:author="Dr. Sipos Norbert" w:date="2024-09-03T14:01:00Z">
              <w:rPr/>
            </w:rPrChange>
          </w:rPr>
          <w:instrText>PAGE   \* MERGEFORMAT</w:instrTex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569F">
          <w:rPr>
            <w:rFonts w:ascii="Times New Roman" w:hAnsi="Times New Roman" w:cs="Times New Roman"/>
            <w:sz w:val="24"/>
            <w:szCs w:val="24"/>
            <w:rPrChange w:id="1" w:author="Dr. Sipos Norbert" w:date="2024-09-03T14:01:00Z">
              <w:rPr/>
            </w:rPrChange>
          </w:rPr>
          <w:t>2</w: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569F" w:rsidRPr="004844F4">
          <w:rPr>
            <w:rFonts w:ascii="Times New Roman" w:hAnsi="Times New Roman" w:cs="Times New Roman"/>
            <w:sz w:val="24"/>
            <w:szCs w:val="24"/>
          </w:rPr>
          <w:t>/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569F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7FAB4" w14:textId="77777777" w:rsidR="00654B15" w:rsidRDefault="00654B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D009" w14:textId="77777777" w:rsidR="0079329D" w:rsidRDefault="0079329D" w:rsidP="00654B15">
      <w:pPr>
        <w:spacing w:after="0" w:line="240" w:lineRule="auto"/>
      </w:pPr>
      <w:r>
        <w:separator/>
      </w:r>
    </w:p>
  </w:footnote>
  <w:footnote w:type="continuationSeparator" w:id="0">
    <w:p w14:paraId="7B72BDEE" w14:textId="77777777" w:rsidR="0079329D" w:rsidRDefault="0079329D" w:rsidP="0065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52D3"/>
    <w:multiLevelType w:val="hybridMultilevel"/>
    <w:tmpl w:val="63842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57621F86"/>
    <w:multiLevelType w:val="hybridMultilevel"/>
    <w:tmpl w:val="D5409012"/>
    <w:lvl w:ilvl="0" w:tplc="DD9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371">
    <w:abstractNumId w:val="6"/>
  </w:num>
  <w:num w:numId="2" w16cid:durableId="1795058050">
    <w:abstractNumId w:val="0"/>
  </w:num>
  <w:num w:numId="3" w16cid:durableId="522670519">
    <w:abstractNumId w:val="1"/>
  </w:num>
  <w:num w:numId="4" w16cid:durableId="944846644">
    <w:abstractNumId w:val="4"/>
  </w:num>
  <w:num w:numId="5" w16cid:durableId="1087919634">
    <w:abstractNumId w:val="3"/>
  </w:num>
  <w:num w:numId="6" w16cid:durableId="1759593725">
    <w:abstractNumId w:val="7"/>
  </w:num>
  <w:num w:numId="7" w16cid:durableId="2092971268">
    <w:abstractNumId w:val="2"/>
  </w:num>
  <w:num w:numId="8" w16cid:durableId="2057393138">
    <w:abstractNumId w:val="8"/>
  </w:num>
  <w:num w:numId="9" w16cid:durableId="14867756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Sipos Norbert">
    <w15:presenceInfo w15:providerId="AD" w15:userId="S::SINMAAK.PTE@tr.pte.hu::2a6e1f24-aaff-4685-8e63-49d0fc266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jM2tTA0NjQ0tjBQ0lEKTi0uzszPAykwqgUA4KN0sSwAAAA="/>
  </w:docVars>
  <w:rsids>
    <w:rsidRoot w:val="00FC6C46"/>
    <w:rsid w:val="0003042C"/>
    <w:rsid w:val="00064E19"/>
    <w:rsid w:val="00094F5B"/>
    <w:rsid w:val="000A1C2E"/>
    <w:rsid w:val="000D569F"/>
    <w:rsid w:val="00132726"/>
    <w:rsid w:val="0014555E"/>
    <w:rsid w:val="001E7717"/>
    <w:rsid w:val="001F3A3E"/>
    <w:rsid w:val="001F40A2"/>
    <w:rsid w:val="002635C1"/>
    <w:rsid w:val="002652E2"/>
    <w:rsid w:val="00282F19"/>
    <w:rsid w:val="002C6D3A"/>
    <w:rsid w:val="00362FC1"/>
    <w:rsid w:val="003873C1"/>
    <w:rsid w:val="003C288E"/>
    <w:rsid w:val="0043403A"/>
    <w:rsid w:val="00466F1A"/>
    <w:rsid w:val="00475046"/>
    <w:rsid w:val="00482588"/>
    <w:rsid w:val="004844F4"/>
    <w:rsid w:val="00491EBB"/>
    <w:rsid w:val="004A3387"/>
    <w:rsid w:val="004B6EB0"/>
    <w:rsid w:val="004C6410"/>
    <w:rsid w:val="004D5325"/>
    <w:rsid w:val="004F21AB"/>
    <w:rsid w:val="004F3726"/>
    <w:rsid w:val="00533F95"/>
    <w:rsid w:val="005A3D39"/>
    <w:rsid w:val="005B2F43"/>
    <w:rsid w:val="005F6B13"/>
    <w:rsid w:val="00641C06"/>
    <w:rsid w:val="00654B15"/>
    <w:rsid w:val="00674839"/>
    <w:rsid w:val="00677816"/>
    <w:rsid w:val="006C0E38"/>
    <w:rsid w:val="006E63D8"/>
    <w:rsid w:val="00701EEE"/>
    <w:rsid w:val="00707681"/>
    <w:rsid w:val="0079329D"/>
    <w:rsid w:val="00801728"/>
    <w:rsid w:val="00810FB0"/>
    <w:rsid w:val="008A6E67"/>
    <w:rsid w:val="008A78E7"/>
    <w:rsid w:val="008F3821"/>
    <w:rsid w:val="00900A3A"/>
    <w:rsid w:val="00904210"/>
    <w:rsid w:val="00941D1B"/>
    <w:rsid w:val="00964F9E"/>
    <w:rsid w:val="0099718E"/>
    <w:rsid w:val="009E5605"/>
    <w:rsid w:val="009F5566"/>
    <w:rsid w:val="00AD1BE8"/>
    <w:rsid w:val="00AF58D0"/>
    <w:rsid w:val="00B10C65"/>
    <w:rsid w:val="00B647F2"/>
    <w:rsid w:val="00BA6EC0"/>
    <w:rsid w:val="00BC2676"/>
    <w:rsid w:val="00BC4937"/>
    <w:rsid w:val="00BE5F57"/>
    <w:rsid w:val="00BF0FF6"/>
    <w:rsid w:val="00C1101F"/>
    <w:rsid w:val="00C31B1D"/>
    <w:rsid w:val="00C70BD5"/>
    <w:rsid w:val="00C743CB"/>
    <w:rsid w:val="00C86457"/>
    <w:rsid w:val="00C8724A"/>
    <w:rsid w:val="00D75106"/>
    <w:rsid w:val="00D95BC1"/>
    <w:rsid w:val="00DE0DE8"/>
    <w:rsid w:val="00E0041B"/>
    <w:rsid w:val="00E21743"/>
    <w:rsid w:val="00E42C77"/>
    <w:rsid w:val="00E83A4D"/>
    <w:rsid w:val="00EB06F9"/>
    <w:rsid w:val="00EE2C79"/>
    <w:rsid w:val="00EE649C"/>
    <w:rsid w:val="00F10446"/>
    <w:rsid w:val="00F704F3"/>
    <w:rsid w:val="00F871B1"/>
    <w:rsid w:val="00FA6846"/>
    <w:rsid w:val="00FC4DFF"/>
    <w:rsid w:val="00FC6C46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A58"/>
  <w15:chartTrackingRefBased/>
  <w15:docId w15:val="{0F772B3B-6D40-4351-99B2-E2D1D03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C4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C6C46"/>
    <w:rPr>
      <w:b/>
      <w:bCs/>
    </w:rPr>
  </w:style>
  <w:style w:type="paragraph" w:customStyle="1" w:styleId="rtejustify">
    <w:name w:val="rtejustify"/>
    <w:basedOn w:val="Norml"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C6C4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47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B15"/>
  </w:style>
  <w:style w:type="paragraph" w:styleId="llb">
    <w:name w:val="footer"/>
    <w:basedOn w:val="Norml"/>
    <w:link w:val="llb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B15"/>
  </w:style>
  <w:style w:type="paragraph" w:styleId="Vltozat">
    <w:name w:val="Revision"/>
    <w:hidden/>
    <w:uiPriority w:val="99"/>
    <w:semiHidden/>
    <w:rsid w:val="002C6D3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C6D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6D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6D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D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D3A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810FB0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10446"/>
    <w:rPr>
      <w:i/>
      <w:iCs/>
    </w:rPr>
  </w:style>
  <w:style w:type="paragraph" w:customStyle="1" w:styleId="Default">
    <w:name w:val="Default"/>
    <w:rsid w:val="00E8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mailto:nemeth.judit@pte.hu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12" Type="http://schemas.openxmlformats.org/officeDocument/2006/relationships/hyperlink" Target="https://mobilitas.pte.hu/munkata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highereducation.com/world-university-rankings/2024/world-ran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ss.zsofia3@pte.hu" TargetMode="External"/><Relationship Id="rId10" Type="http://schemas.openxmlformats.org/officeDocument/2006/relationships/hyperlink" Target="https://www.topuniversities.com/world-university-rankin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lliance.eu/about-us/partners-members" TargetMode="External"/><Relationship Id="rId14" Type="http://schemas.openxmlformats.org/officeDocument/2006/relationships/hyperlink" Target="mailto:czeh.gabor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1637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Kiss Zsófia</cp:lastModifiedBy>
  <cp:revision>3</cp:revision>
  <cp:lastPrinted>2024-10-31T08:53:00Z</cp:lastPrinted>
  <dcterms:created xsi:type="dcterms:W3CDTF">2025-04-10T05:32:00Z</dcterms:created>
  <dcterms:modified xsi:type="dcterms:W3CDTF">2025-04-10T05:38:00Z</dcterms:modified>
</cp:coreProperties>
</file>