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="280" w:after="280"/>
        <w:jc w:val="center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PÁLYÁZATI FELHÍVÁS</w:t>
      </w:r>
    </w:p>
    <w:p>
      <w:pPr>
        <w:pStyle w:val="NormalWeb"/>
        <w:shd w:val="clear" w:color="auto" w:fill="FFFFFF"/>
        <w:spacing w:lineRule="auto" w:line="360"/>
        <w:jc w:val="center"/>
        <w:rPr/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 xml:space="preserve">A Pécsi Tudományegyetem  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 xml:space="preserve">Kultúratudományi Pedagógusképző és Vidékfejlesztési Kara 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pályázatot ír ki 2019/2020 tanévi Erasmus+ oktatói mobilitási programban való részvételre.</w:t>
      </w:r>
    </w:p>
    <w:p>
      <w:pPr>
        <w:pStyle w:val="NormalWeb"/>
        <w:shd w:val="clear" w:color="auto" w:fill="FFFFFF"/>
        <w:jc w:val="center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2019. október 1.- 2020. szeptember 30. közötti időszakra</w:t>
      </w:r>
      <w:bookmarkStart w:id="0" w:name="_GoBack"/>
      <w:bookmarkEnd w:id="0"/>
    </w:p>
    <w:p>
      <w:pPr>
        <w:pStyle w:val="NormalWeb"/>
        <w:shd w:val="clear" w:color="auto" w:fill="FFFFFF"/>
        <w:rPr/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 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A pályázat célja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Az oktatói mobilitás célja a partnerintézmény szakos tanrendjébe illeszkedő előadások, szemináriumok megtartása, és a partnerintézménnyel való szakmai kapcsolat további építése, különös tekintettel az Erasmus+ program tantervfejlesztési tevékenységeire, közös képzési programok kidolgozására. 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Kutatás és konferencián való részvétel ezen pályázaton nem támogatható!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 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A pályázat tárgya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/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 Erasmus+ program keretében a pályázaton nyertes oktatók a Pécsi Tudományegyetemmel 2019/2020-as tanévre érvényes kétoldalú megállapodással rendelkező ERASMUS+ programország-beli felsőoktatási intézményében ösztöndíjjal folytathatnak oktatási tevékenységet. A vendégoktatás időtartama nem lehet kevesebb 8 tanóránál, és nem lehet hosszabb 5 munkanapnál  (akár 2 napos mobilitás is megvalósítható). A környező országokba Ausztria, Csehország, Horvátország, Románia, Szlovénia, Szlovákia 4 napos támogatás nyerhető el!</w:t>
      </w:r>
    </w:p>
    <w:p>
      <w:pPr>
        <w:pStyle w:val="NormalWeb"/>
        <w:shd w:val="clear" w:color="auto" w:fill="FFFFFF"/>
        <w:spacing w:lineRule="auto" w:line="288" w:beforeAutospacing="0" w:before="0" w:afterAutospacing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 </w:t>
      </w:r>
    </w:p>
    <w:p>
      <w:pPr>
        <w:pStyle w:val="NormalWeb"/>
        <w:shd w:val="clear" w:color="auto" w:fill="FFFFFF"/>
        <w:spacing w:lineRule="auto" w:line="288" w:beforeAutospacing="0" w:before="0" w:afterAutospacing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Mire pályázhatnak az oktatók?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Az Erasmus+ oktatók támogatást (ösztöndíjat) kapnak külföldi oktatási tevékenységük megvalósításához. Az ösztöndíj összege differenciált, függ az oktatási tevékenység időtartamától és a célországtól. Az ösztöndíj összegeket és az utazási támogatás összegét a melléklet tartalmazza.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 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Az Erasmus+ támogatás nem feltétlenül fedezi a kiutazás és a kint tartózkodás költségeit, csupán hozzájárul a külföldi oktatói út megvalósításához, ezért szükség lehet egyéb kiegészítő forrásokra is.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 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Amennyiben a pályázó a fogadó egyetem alkalmazottja, vagy a fogadó egyetem részben vagy egészben finanszírozza a kiutazás és/vagy a kinttartózkodás költségeit, akkor Erasmus+ ösztöndíjra az oktató nem jogosult.</w:t>
      </w:r>
    </w:p>
    <w:p>
      <w:pPr>
        <w:pStyle w:val="NormalWeb"/>
        <w:shd w:val="clear" w:color="auto" w:fill="FFFFFF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Helyszín: nem lehet a küldő intézmény országa és a lakóhely szerinti ország sem.</w:t>
      </w:r>
    </w:p>
    <w:p>
      <w:pPr>
        <w:pStyle w:val="NormalWeb"/>
        <w:shd w:val="clear" w:color="auto" w:fill="FFFFFF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Az oktató a pályázatában benyújtott, az érintett felek által jóváhagyott és aláírásukkal elfogadott egyéni munkaprogramot követi.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 </w:t>
      </w:r>
    </w:p>
    <w:p>
      <w:pPr>
        <w:pStyle w:val="NormalWeb"/>
        <w:shd w:val="clear" w:color="auto" w:fill="FFFFFF"/>
        <w:spacing w:lineRule="auto" w:line="288" w:beforeAutospacing="0" w:before="0" w:afterAutospacing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Kik nyújthatnak be pályázatot?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Az vehet részt az Erasmus+ programban:</w:t>
      </w:r>
    </w:p>
    <w:p>
      <w:pPr>
        <w:pStyle w:val="NormalWeb"/>
        <w:shd w:val="clear" w:color="auto" w:fill="FFFFFF"/>
        <w:spacing w:lineRule="auto" w:line="276"/>
        <w:ind w:left="108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•     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aki magyar állampolgár (vagy huzamos tartózkodási engedéllyel vagy menekültként tartózkodik Magyarországon);</w:t>
      </w:r>
    </w:p>
    <w:p>
      <w:pPr>
        <w:pStyle w:val="NormalWeb"/>
        <w:shd w:val="clear" w:color="auto" w:fill="FFFFFF"/>
        <w:spacing w:lineRule="auto" w:line="276"/>
        <w:ind w:left="108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•     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aki főállású, félállású vagy óraadó oktatója az intézménynek;</w:t>
      </w:r>
    </w:p>
    <w:p>
      <w:pPr>
        <w:pStyle w:val="NormalWeb"/>
        <w:shd w:val="clear" w:color="auto" w:fill="FFFFFF"/>
        <w:spacing w:lineRule="auto" w:line="276"/>
        <w:ind w:left="108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•     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akinek tanszéke / intézete saját tématerületén érvényes Erasmus+ együttműködési megállapodással rendelkezik;</w:t>
      </w:r>
    </w:p>
    <w:p>
      <w:pPr>
        <w:pStyle w:val="NormalWeb"/>
        <w:shd w:val="clear" w:color="auto" w:fill="FFFFFF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 </w:t>
      </w:r>
    </w:p>
    <w:p>
      <w:pPr>
        <w:pStyle w:val="NormalWeb"/>
        <w:shd w:val="clear" w:color="auto" w:fill="FFFFFF"/>
        <w:spacing w:beforeAutospacing="0" w:before="12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A pályázat benyújtásának határideje és módja</w:t>
      </w:r>
    </w:p>
    <w:p>
      <w:pPr>
        <w:pStyle w:val="NormalWeb"/>
        <w:shd w:val="clear" w:color="auto" w:fill="FFFFFF"/>
        <w:spacing w:lineRule="auto" w:line="36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A pályázatot a Kari Erasmus Koordinátornak kell benyújtani, legkésőbb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2019. május 10 -ig.</w:t>
      </w:r>
    </w:p>
    <w:p>
      <w:pPr>
        <w:pStyle w:val="NormalWeb"/>
        <w:shd w:val="clear" w:color="auto" w:fill="FFFFFF"/>
        <w:spacing w:lineRule="auto" w:line="276" w:beforeAutospacing="0" w:before="12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 </w:t>
      </w:r>
    </w:p>
    <w:p>
      <w:pPr>
        <w:pStyle w:val="NormalWeb"/>
        <w:shd w:val="clear" w:color="auto" w:fill="FFFFFF"/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A pályázat részeként benyújtandó dokumentumok</w:t>
      </w:r>
    </w:p>
    <w:p>
      <w:pPr>
        <w:pStyle w:val="NormalWeb"/>
        <w:shd w:val="clear" w:color="auto" w:fill="FFFFFF"/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Egy nyomtatott példányban kell beadni az alábbiakat: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27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kitöltött, eredetiben aláírt pályázati űrlap;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a </w:t>
      </w:r>
      <w:r>
        <w:rPr>
          <w:rFonts w:cs="Calibri" w:ascii="Calibri" w:hAnsi="Calibri" w:asciiTheme="minorHAnsi" w:cstheme="minorHAnsi" w:hAnsiTheme="minorHAnsi"/>
          <w:b/>
          <w:color w:val="0070C0"/>
          <w:sz w:val="22"/>
          <w:szCs w:val="22"/>
        </w:rPr>
        <w:t>három fél által aláírt pontos időtartamra szóló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a partner egyetem által jóváhagyott munkatervet (Staff mobility for teaching mobility agreement)</w:t>
      </w:r>
    </w:p>
    <w:p>
      <w:pPr>
        <w:pStyle w:val="NormalWeb"/>
        <w:shd w:val="clear" w:color="auto" w:fill="FFFFFF"/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A hiányos, feltételeknek nem megfelelő, olvashatatlan vagy határidő után érkező pályázatokat nem áll módunkban elfogadni.</w:t>
      </w:r>
    </w:p>
    <w:p>
      <w:pPr>
        <w:pStyle w:val="NormalWeb"/>
        <w:shd w:val="clear" w:color="auto" w:fill="FFFFFF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  </w:t>
      </w:r>
    </w:p>
    <w:p>
      <w:pPr>
        <w:pStyle w:val="NormalWeb"/>
        <w:shd w:val="clear" w:color="auto" w:fill="FFFFFF"/>
        <w:spacing w:beforeAutospacing="0" w:before="12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A benyújtott pályázatok elbírálása</w:t>
      </w:r>
    </w:p>
    <w:p>
      <w:pPr>
        <w:pStyle w:val="NormalWeb"/>
        <w:shd w:val="clear" w:color="auto" w:fill="FFFFFF"/>
        <w:spacing w:beforeAutospacing="0" w:before="12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A benyújtott pályázatokat a beadási határidőt követő 3 héten belül a kar Pályázati és Ösztöndíj Bizottsága bírálja el. </w:t>
      </w:r>
    </w:p>
    <w:p>
      <w:pPr>
        <w:pStyle w:val="NormalWeb"/>
        <w:shd w:val="clear" w:color="auto" w:fill="FFFFFF"/>
        <w:spacing w:beforeAutospacing="0" w:before="12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 pályázatok elbírálásának szempontjai:</w:t>
      </w:r>
    </w:p>
    <w:p>
      <w:pPr>
        <w:pStyle w:val="NormalWeb"/>
        <w:shd w:val="clear" w:color="auto" w:fill="FFFFFF"/>
        <w:spacing w:beforeAutospacing="0" w:before="120" w:afterAutospacing="0" w:after="0"/>
        <w:ind w:left="72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1.)  Munkaterv – Erasmus+ nyomtatvány szerint;</w:t>
      </w:r>
    </w:p>
    <w:p>
      <w:pPr>
        <w:pStyle w:val="NormalWeb"/>
        <w:shd w:val="clear" w:color="auto" w:fill="FFFFFF"/>
        <w:spacing w:beforeAutospacing="0" w:before="120" w:afterAutospacing="0" w:after="0"/>
        <w:ind w:left="72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2.)  Az elmúlt tanévben vagy a korábbi években ERASMUS+ támogatásban nem részesült oktatók pályázata előnyben részesül. </w:t>
      </w:r>
    </w:p>
    <w:p>
      <w:pPr>
        <w:pStyle w:val="NormalWeb"/>
        <w:shd w:val="clear" w:color="auto" w:fill="FFFFFF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 </w:t>
      </w:r>
    </w:p>
    <w:p>
      <w:pPr>
        <w:pStyle w:val="NormalWeb"/>
        <w:shd w:val="clear" w:color="auto" w:fill="FFFFFF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A fogyatékkal élő vagy tartósan beteg oktatók kiegészítő támogatásra is pályázhatnak (a pályázat beadásának várható határideje: július és november, bővebb információ: </w:t>
      </w:r>
      <w:hyperlink r:id="rId2" w:tgtFrame="_blank">
        <w:r>
          <w:rPr>
            <w:rStyle w:val="Internethivatkozs"/>
            <w:rFonts w:cs="Calibri" w:ascii="Calibri" w:hAnsi="Calibri" w:asciiTheme="minorHAnsi" w:cstheme="minorHAnsi" w:hAnsiTheme="minorHAnsi"/>
            <w:sz w:val="22"/>
            <w:szCs w:val="22"/>
          </w:rPr>
          <w:t>http://erasmus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</w:r>
      <w:hyperlink r:id="rId3">
        <w:r>
          <w:rPr>
            <w:rStyle w:val="Internethivatkozs"/>
            <w:rFonts w:cs="Calibri" w:ascii="Calibri" w:hAnsi="Calibri" w:asciiTheme="minorHAnsi" w:cstheme="minorHAnsi" w:hAnsiTheme="minorHAnsi"/>
            <w:sz w:val="22"/>
            <w:szCs w:val="22"/>
          </w:rPr>
          <w:t>pte.hu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>)</w:t>
      </w:r>
    </w:p>
    <w:p>
      <w:pPr>
        <w:pStyle w:val="NormalWeb"/>
        <w:shd w:val="clear" w:color="auto" w:fill="FFFFFF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 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 pályázatok elkészítésével kapcsolatos szakmai kérdésekben az intézeti / tanszéki, általános és formai kérdésekben a kari koordinátorok állnak rendelkezésükre.</w:t>
      </w:r>
    </w:p>
    <w:p>
      <w:pPr>
        <w:pStyle w:val="NormalWeb"/>
        <w:shd w:val="clear" w:color="auto" w:fill="FFFFFF"/>
        <w:rPr/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Várható Ösztöndíj összegek a 2018-2019-es tanévre:</w:t>
      </w:r>
    </w:p>
    <w:p>
      <w:pPr>
        <w:pStyle w:val="NormalWeb"/>
        <w:shd w:val="clear" w:color="auto" w:fill="FFFFFF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 </w:t>
      </w:r>
    </w:p>
    <w:tbl>
      <w:tblPr>
        <w:tblW w:w="8632" w:type="dxa"/>
        <w:jc w:val="left"/>
        <w:tblInd w:w="592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7215"/>
        <w:gridCol w:w="1416"/>
      </w:tblGrid>
      <w:tr>
        <w:trPr/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EEECE1" w:val="clear"/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Fogadó ország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auto" w:fill="EEECE1" w:val="clea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1.-14. nap</w:t>
            </w:r>
          </w:p>
        </w:tc>
      </w:tr>
      <w:tr>
        <w:trPr/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333333"/>
                <w:sz w:val="22"/>
                <w:szCs w:val="22"/>
                <w:shd w:fill="EEEEEE" w:val="clear"/>
              </w:rPr>
              <w:t>Magas megélhetési költségű országok</w:t>
            </w:r>
            <w:r>
              <w:rPr>
                <w:rFonts w:cs="Calibri" w:ascii="Calibri" w:hAnsi="Calibri" w:asciiTheme="minorHAnsi" w:cstheme="minorHAnsi" w:hAnsiTheme="minorHAnsi"/>
                <w:color w:val="333333"/>
                <w:sz w:val="22"/>
                <w:szCs w:val="22"/>
              </w:rPr>
              <w:br/>
            </w:r>
            <w:r>
              <w:rPr>
                <w:rFonts w:cs="Calibri" w:ascii="Calibri" w:hAnsi="Calibri" w:asciiTheme="minorHAnsi" w:cstheme="minorHAnsi" w:hAnsiTheme="minorHAnsi"/>
                <w:color w:val="333333"/>
                <w:sz w:val="22"/>
                <w:szCs w:val="22"/>
                <w:shd w:fill="EEEEEE" w:val="clear"/>
              </w:rPr>
              <w:t>((Dánia (DK), Finnország (FI), Írország (IE),  Norvégia (NO), Svédország (SE), Nagy-Britannia (UK))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280" w:after="28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170 € / nap</w:t>
            </w:r>
          </w:p>
        </w:tc>
      </w:tr>
      <w:tr>
        <w:trPr/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480" w:before="240" w:after="240"/>
              <w:rPr>
                <w:rFonts w:ascii="Calibri" w:hAnsi="Calibri" w:eastAsia="Times New Roman" w:cs="Calibri" w:asciiTheme="minorHAnsi" w:cstheme="minorHAnsi" w:hAnsiTheme="minorHAnsi"/>
                <w:color w:val="333333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333333"/>
                <w:sz w:val="22"/>
                <w:szCs w:val="22"/>
              </w:rPr>
              <w:t>Közepes megélhetési költségű országok</w:t>
            </w:r>
          </w:p>
          <w:p>
            <w:pPr>
              <w:pStyle w:val="Normal"/>
              <w:spacing w:lineRule="atLeast" w:line="480" w:before="240" w:after="240"/>
              <w:rPr>
                <w:rFonts w:ascii="Calibri" w:hAnsi="Calibri" w:eastAsia="Times New Roman" w:cs="Calibri" w:asciiTheme="minorHAnsi" w:cstheme="minorHAnsi" w:hAnsiTheme="minorHAnsi"/>
                <w:color w:val="333333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333333"/>
                <w:sz w:val="22"/>
                <w:szCs w:val="22"/>
              </w:rPr>
              <w:t>(Ausztria (AT), Belgium (BE), Ciprus (CY), Németország (DE), Görögország (EL), Spanyolország (ES), Franciaország (FR), Olaszország (IT), Hollandia (NL),  Málta (MT), Portugália (PT))</w:t>
            </w:r>
          </w:p>
          <w:p>
            <w:pPr>
              <w:pStyle w:val="NormalWeb"/>
              <w:spacing w:before="280" w:after="28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280" w:after="28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140 € / nap</w:t>
            </w:r>
          </w:p>
        </w:tc>
      </w:tr>
      <w:tr>
        <w:trPr/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480" w:before="240" w:after="240"/>
              <w:rPr>
                <w:rFonts w:ascii="Calibri" w:hAnsi="Calibri" w:eastAsia="Times New Roman" w:cs="Calibri" w:asciiTheme="minorHAnsi" w:cstheme="minorHAnsi" w:hAnsiTheme="minorHAnsi"/>
                <w:color w:val="333333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333333"/>
                <w:sz w:val="22"/>
                <w:szCs w:val="22"/>
              </w:rPr>
              <w:t>Alacsonyabb megélhetési költségű országok</w:t>
            </w:r>
          </w:p>
          <w:p>
            <w:pPr>
              <w:pStyle w:val="Normal"/>
              <w:spacing w:lineRule="atLeast" w:line="480" w:before="240" w:after="240"/>
              <w:rPr>
                <w:rFonts w:ascii="Calibri" w:hAnsi="Calibri" w:eastAsia="Times New Roman" w:cs="Calibri" w:asciiTheme="minorHAnsi" w:cstheme="minorHAnsi" w:hAnsiTheme="minorHAnsi"/>
                <w:color w:val="333333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333333"/>
                <w:sz w:val="22"/>
                <w:szCs w:val="22"/>
              </w:rPr>
              <w:t>(Bulgária (BG), Csehország (CZ), Észtország (EE), Horvátország (HR), Litvánia (LT), Lettország (LV), Lengyelország (PL), Románia (RO), Szlovénia (SI), Szlovákia (SK),  Macedónia (MK), Törökország (TR))</w:t>
            </w:r>
          </w:p>
          <w:p>
            <w:pPr>
              <w:pStyle w:val="NormalWeb"/>
              <w:spacing w:before="280" w:after="28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280" w:after="28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110 € / nap</w:t>
            </w:r>
          </w:p>
        </w:tc>
      </w:tr>
    </w:tbl>
    <w:p>
      <w:pPr>
        <w:pStyle w:val="NormalWeb"/>
        <w:shd w:val="clear" w:color="auto" w:fill="FFFFFF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A kiutazásokhoz egyszeri utazási támogatás is adható.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 Pécs és a célhely közötti távolság kizárólag az Európai Bizottság által közzétett Távolság Számláló (Distance Calculator) segítségével számítható ki: </w:t>
      </w:r>
    </w:p>
    <w:p>
      <w:pPr>
        <w:pStyle w:val="Normal"/>
        <w:jc w:val="both"/>
        <w:rPr/>
      </w:pPr>
      <w:hyperlink r:id="rId4" w:tgtFrame="_blank">
        <w:r>
          <w:rPr>
            <w:rStyle w:val="ListLabel5"/>
            <w:rFonts w:cs="Calibri" w:ascii="Calibri" w:hAnsi="Calibri" w:asciiTheme="minorHAnsi" w:cstheme="minorHAnsi" w:hAnsiTheme="minorHAnsi"/>
            <w:b/>
            <w:color w:val="0070C0"/>
            <w:sz w:val="22"/>
            <w:szCs w:val="22"/>
          </w:rPr>
          <w:t>http://ec.europa.eu/programmes/erasmus-plus/tools/distance_en.htm</w:t>
        </w:r>
      </w:hyperlink>
    </w:p>
    <w:p>
      <w:pPr>
        <w:pStyle w:val="NormalWeb"/>
        <w:shd w:val="clear" w:color="auto" w:fill="FFFFFF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Utazási támogatás összegek:</w:t>
      </w:r>
    </w:p>
    <w:tbl>
      <w:tblPr>
        <w:tblW w:w="4566" w:type="dxa"/>
        <w:jc w:val="left"/>
        <w:tblInd w:w="1761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37"/>
        <w:gridCol w:w="1628"/>
      </w:tblGrid>
      <w:tr>
        <w:trPr/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 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0 – 99 km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20 €</w:t>
            </w:r>
          </w:p>
        </w:tc>
      </w:tr>
      <w:tr>
        <w:trPr/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100 – 499 km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180 €</w:t>
            </w:r>
          </w:p>
        </w:tc>
      </w:tr>
      <w:tr>
        <w:trPr/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500 – 1.999 km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275 €</w:t>
            </w:r>
          </w:p>
        </w:tc>
      </w:tr>
      <w:tr>
        <w:trPr/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2.000 – 2.999 km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360 €</w:t>
            </w:r>
          </w:p>
        </w:tc>
      </w:tr>
      <w:tr>
        <w:trPr/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3.000 – 3.999 km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530 €</w:t>
            </w:r>
          </w:p>
        </w:tc>
      </w:tr>
      <w:tr>
        <w:trPr/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4.000 – 7.999 km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820 €</w:t>
            </w:r>
          </w:p>
        </w:tc>
      </w:tr>
      <w:tr>
        <w:trPr/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8.000 – 19.999 km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1.100 €</w:t>
            </w:r>
          </w:p>
        </w:tc>
      </w:tr>
    </w:tbl>
    <w:p>
      <w:pPr>
        <w:pStyle w:val="NormalWeb"/>
        <w:shd w:val="clear" w:color="auto" w:fill="FFFFFF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 </w:t>
      </w:r>
    </w:p>
    <w:p>
      <w:pPr>
        <w:pStyle w:val="NormalWeb"/>
        <w:shd w:val="clear" w:color="auto" w:fill="FFFFFF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 </w:t>
      </w:r>
    </w:p>
    <w:p>
      <w:pPr>
        <w:pStyle w:val="Normal"/>
        <w:shd w:val="clear" w:color="auto" w:fill="FFFFFF"/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br/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21e06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hu-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semiHidden/>
    <w:unhideWhenUsed/>
    <w:rsid w:val="00c21e06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5">
    <w:name w:val="ListLabel 5"/>
    <w:qFormat/>
    <w:rPr>
      <w:rFonts w:ascii="Calibri" w:hAnsi="Calibri" w:cs="Calibri" w:asciiTheme="minorHAnsi" w:cstheme="minorHAnsi" w:hAnsiTheme="minorHAnsi"/>
      <w:b/>
      <w:color w:val="0070C0"/>
      <w:sz w:val="22"/>
      <w:szCs w:val="22"/>
    </w:rPr>
  </w:style>
  <w:style w:type="character" w:styleId="ListLabel6">
    <w:name w:val="ListLabel 6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7">
    <w:name w:val="ListLabel 7"/>
    <w:qFormat/>
    <w:rPr>
      <w:rFonts w:ascii="Calibri" w:hAnsi="Calibri" w:cs="Calibri" w:asciiTheme="minorHAnsi" w:cstheme="minorHAnsi" w:hAnsiTheme="minorHAnsi"/>
      <w:b/>
      <w:color w:val="0070C0"/>
      <w:sz w:val="22"/>
      <w:szCs w:val="22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c21e06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86489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rasmus/" TargetMode="External"/><Relationship Id="rId3" Type="http://schemas.openxmlformats.org/officeDocument/2006/relationships/hyperlink" Target="http://pte.hu/" TargetMode="External"/><Relationship Id="rId4" Type="http://schemas.openxmlformats.org/officeDocument/2006/relationships/hyperlink" Target="http://ec.europa.eu/programmes/erasmus-plus/tools/distance_en.ht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LibreOffice/6.0.7.3$Linux_X86_64 LibreOffice_project/00m0$Build-3</Application>
  <Pages>4</Pages>
  <Words>617</Words>
  <Characters>4255</Characters>
  <CharactersWithSpaces>4860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2017-03-20T08:19:00Z</dcterms:created>
  <dc:creator>Buda Réka</dc:creator>
  <dc:description/>
  <dc:language>hu-HU</dc:language>
  <cp:lastModifiedBy/>
  <dcterms:modified xsi:type="dcterms:W3CDTF">2019-03-01T20:55:45Z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